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443C6" w14:textId="77777777" w:rsidR="006F3F42" w:rsidRPr="006F3F42" w:rsidRDefault="006F3F42" w:rsidP="006F3F42">
      <w:pPr>
        <w:spacing w:line="360" w:lineRule="auto"/>
        <w:jc w:val="both"/>
        <w:rPr>
          <w:rFonts w:eastAsia="Arial"/>
          <w:b/>
          <w:sz w:val="21"/>
          <w:szCs w:val="21"/>
          <w:lang w:val="en-US"/>
        </w:rPr>
      </w:pPr>
    </w:p>
    <w:p w14:paraId="1DD8BE33" w14:textId="77777777" w:rsidR="006F3F42" w:rsidRPr="006F3F42" w:rsidRDefault="006F3F42" w:rsidP="006F3F42">
      <w:pPr>
        <w:spacing w:line="360" w:lineRule="auto"/>
        <w:jc w:val="both"/>
        <w:rPr>
          <w:rFonts w:eastAsia="Arial"/>
          <w:b/>
          <w:sz w:val="21"/>
          <w:szCs w:val="21"/>
          <w:lang w:val="en-US"/>
        </w:rPr>
      </w:pPr>
      <w:r w:rsidRPr="006F3F42">
        <w:rPr>
          <w:rFonts w:eastAsia="Arial"/>
          <w:b/>
          <w:sz w:val="21"/>
          <w:szCs w:val="21"/>
          <w:lang w:val="en-US"/>
        </w:rPr>
        <w:t>SUPPLEMENTARY FILES</w:t>
      </w:r>
    </w:p>
    <w:p w14:paraId="1F057801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color w:val="FF0000"/>
          <w:sz w:val="21"/>
          <w:szCs w:val="21"/>
          <w:lang w:val="en-US"/>
        </w:rPr>
      </w:pPr>
    </w:p>
    <w:p w14:paraId="2FD99129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rPr>
          <w:rFonts w:eastAsia="Arial"/>
          <w:color w:val="FF0000"/>
          <w:sz w:val="21"/>
          <w:szCs w:val="21"/>
          <w:lang w:val="en-US"/>
        </w:rPr>
      </w:pPr>
    </w:p>
    <w:tbl>
      <w:tblPr>
        <w:tblStyle w:val="a3"/>
        <w:tblW w:w="13608" w:type="dxa"/>
        <w:tblLayout w:type="fixed"/>
        <w:tblLook w:val="0600" w:firstRow="0" w:lastRow="0" w:firstColumn="0" w:lastColumn="0" w:noHBand="1" w:noVBand="1"/>
      </w:tblPr>
      <w:tblGrid>
        <w:gridCol w:w="6096"/>
        <w:gridCol w:w="1701"/>
        <w:gridCol w:w="992"/>
        <w:gridCol w:w="2126"/>
        <w:gridCol w:w="2693"/>
      </w:tblGrid>
      <w:tr w:rsidR="006F3F42" w:rsidRPr="006F3F42" w14:paraId="752576AC" w14:textId="77777777" w:rsidTr="006F3F42">
        <w:trPr>
          <w:trHeight w:val="1025"/>
        </w:trPr>
        <w:tc>
          <w:tcPr>
            <w:tcW w:w="6096" w:type="dxa"/>
          </w:tcPr>
          <w:p w14:paraId="48A2A0B8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b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b/>
                <w:sz w:val="21"/>
                <w:szCs w:val="21"/>
                <w:lang w:val="en-US"/>
              </w:rPr>
              <w:t>Excluded Titles</w:t>
            </w:r>
          </w:p>
        </w:tc>
        <w:tc>
          <w:tcPr>
            <w:tcW w:w="1701" w:type="dxa"/>
          </w:tcPr>
          <w:p w14:paraId="21FC8FF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b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b/>
                <w:sz w:val="21"/>
                <w:szCs w:val="21"/>
                <w:lang w:val="en-US"/>
              </w:rPr>
              <w:t>First Author</w:t>
            </w:r>
          </w:p>
        </w:tc>
        <w:tc>
          <w:tcPr>
            <w:tcW w:w="992" w:type="dxa"/>
          </w:tcPr>
          <w:p w14:paraId="712C618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b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b/>
                <w:sz w:val="21"/>
                <w:szCs w:val="21"/>
                <w:lang w:val="en-US"/>
              </w:rPr>
              <w:t>Year</w:t>
            </w:r>
          </w:p>
        </w:tc>
        <w:tc>
          <w:tcPr>
            <w:tcW w:w="2126" w:type="dxa"/>
          </w:tcPr>
          <w:p w14:paraId="4EA7687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b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b/>
                <w:sz w:val="21"/>
                <w:szCs w:val="21"/>
                <w:lang w:val="en-US"/>
              </w:rPr>
              <w:t>Journal</w:t>
            </w:r>
          </w:p>
        </w:tc>
        <w:tc>
          <w:tcPr>
            <w:tcW w:w="2693" w:type="dxa"/>
          </w:tcPr>
          <w:p w14:paraId="075F7C05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b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b/>
                <w:sz w:val="21"/>
                <w:szCs w:val="21"/>
                <w:lang w:val="en-US"/>
              </w:rPr>
              <w:t>Reason for exclusion</w:t>
            </w:r>
          </w:p>
        </w:tc>
      </w:tr>
      <w:tr w:rsidR="006F3F42" w:rsidRPr="006F3F42" w14:paraId="362EEC2D" w14:textId="77777777" w:rsidTr="006F3F42">
        <w:trPr>
          <w:trHeight w:val="803"/>
        </w:trPr>
        <w:tc>
          <w:tcPr>
            <w:tcW w:w="6096" w:type="dxa"/>
          </w:tcPr>
          <w:p w14:paraId="3946A0C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Orthognathic treatment with distraction osteogenesis in two asymmetry cases</w:t>
            </w:r>
          </w:p>
        </w:tc>
        <w:tc>
          <w:tcPr>
            <w:tcW w:w="1701" w:type="dxa"/>
          </w:tcPr>
          <w:p w14:paraId="65934C68" w14:textId="68D7C059" w:rsidR="006F3F42" w:rsidRPr="006F3F42" w:rsidRDefault="006F3F42" w:rsidP="006F3F42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Gulsen</w:t>
            </w:r>
          </w:p>
        </w:tc>
        <w:tc>
          <w:tcPr>
            <w:tcW w:w="992" w:type="dxa"/>
          </w:tcPr>
          <w:p w14:paraId="5EE7289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2021</w:t>
            </w:r>
          </w:p>
        </w:tc>
        <w:tc>
          <w:tcPr>
            <w:tcW w:w="2126" w:type="dxa"/>
          </w:tcPr>
          <w:p w14:paraId="650E126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</w:rPr>
              <w:t>Gazi Medical Journal</w:t>
            </w:r>
          </w:p>
        </w:tc>
        <w:tc>
          <w:tcPr>
            <w:tcW w:w="2693" w:type="dxa"/>
          </w:tcPr>
          <w:p w14:paraId="67E42366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Article not found</w:t>
            </w:r>
          </w:p>
        </w:tc>
      </w:tr>
      <w:tr w:rsidR="006F3F42" w:rsidRPr="006F3F42" w14:paraId="0733652C" w14:textId="77777777" w:rsidTr="006F3F42">
        <w:trPr>
          <w:trHeight w:val="1100"/>
        </w:trPr>
        <w:tc>
          <w:tcPr>
            <w:tcW w:w="6096" w:type="dxa"/>
          </w:tcPr>
          <w:p w14:paraId="4127584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Our Hemifacial Microsomia Treatment: The Importance of Both Selecting the Plan for the Grade of Deformity and Orthodontic Management</w:t>
            </w:r>
          </w:p>
        </w:tc>
        <w:tc>
          <w:tcPr>
            <w:tcW w:w="1701" w:type="dxa"/>
          </w:tcPr>
          <w:p w14:paraId="1D73A000" w14:textId="4E1E66CB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T. </w:t>
            </w:r>
            <w:r w:rsidRPr="006F3F42">
              <w:rPr>
                <w:sz w:val="21"/>
                <w:szCs w:val="21"/>
              </w:rPr>
              <w:t>Okumoto</w:t>
            </w:r>
          </w:p>
        </w:tc>
        <w:tc>
          <w:tcPr>
            <w:tcW w:w="992" w:type="dxa"/>
          </w:tcPr>
          <w:p w14:paraId="77CDD68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2003</w:t>
            </w:r>
          </w:p>
        </w:tc>
        <w:tc>
          <w:tcPr>
            <w:tcW w:w="2126" w:type="dxa"/>
          </w:tcPr>
          <w:p w14:paraId="2EAC9BB1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Japanese Journal of Plastic and Reconstructive Surgery</w:t>
            </w:r>
          </w:p>
        </w:tc>
        <w:tc>
          <w:tcPr>
            <w:tcW w:w="2693" w:type="dxa"/>
          </w:tcPr>
          <w:p w14:paraId="2EDD9F4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Article not found</w:t>
            </w:r>
          </w:p>
        </w:tc>
      </w:tr>
      <w:tr w:rsidR="006F3F42" w:rsidRPr="006F3F42" w14:paraId="48363367" w14:textId="77777777" w:rsidTr="006F3F42">
        <w:trPr>
          <w:trHeight w:val="1100"/>
        </w:trPr>
        <w:tc>
          <w:tcPr>
            <w:tcW w:w="6096" w:type="dxa"/>
          </w:tcPr>
          <w:p w14:paraId="59BCF351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Treatment modalities for Korean patients with unilateral hemifacial microsomia according to Pruzansky-Kaban types and growth stages.</w:t>
            </w:r>
          </w:p>
        </w:tc>
        <w:tc>
          <w:tcPr>
            <w:tcW w:w="1701" w:type="dxa"/>
          </w:tcPr>
          <w:p w14:paraId="40CF5C51" w14:textId="12964E8A" w:rsidR="006F3F42" w:rsidRPr="006F3F42" w:rsidRDefault="006F3F42" w:rsidP="006F3F42">
            <w:pPr>
              <w:spacing w:line="360" w:lineRule="auto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I. </w:t>
            </w:r>
            <w:r w:rsidRPr="006F3F42">
              <w:rPr>
                <w:sz w:val="21"/>
                <w:szCs w:val="21"/>
                <w:lang w:val="en-US"/>
              </w:rPr>
              <w:t>Yang</w:t>
            </w:r>
          </w:p>
        </w:tc>
        <w:tc>
          <w:tcPr>
            <w:tcW w:w="992" w:type="dxa"/>
          </w:tcPr>
          <w:p w14:paraId="6E156CD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2020</w:t>
            </w:r>
          </w:p>
        </w:tc>
        <w:tc>
          <w:tcPr>
            <w:tcW w:w="2126" w:type="dxa"/>
          </w:tcPr>
          <w:p w14:paraId="46FE212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Korean Journal orthodontics</w:t>
            </w:r>
          </w:p>
        </w:tc>
        <w:tc>
          <w:tcPr>
            <w:tcW w:w="2693" w:type="dxa"/>
          </w:tcPr>
          <w:p w14:paraId="1E4B422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1154CB8C" w14:textId="77777777" w:rsidTr="006F3F42">
        <w:trPr>
          <w:trHeight w:val="1100"/>
        </w:trPr>
        <w:tc>
          <w:tcPr>
            <w:tcW w:w="6096" w:type="dxa"/>
          </w:tcPr>
          <w:p w14:paraId="625ED0B4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color w:val="000000"/>
                <w:sz w:val="21"/>
                <w:szCs w:val="21"/>
                <w:lang w:val="en-US"/>
              </w:rPr>
              <w:t>Effect of early orthopedic intervention on hemifacial microsomia patients: An approach to a cooperative evaluation of treatment results</w:t>
            </w:r>
          </w:p>
        </w:tc>
        <w:tc>
          <w:tcPr>
            <w:tcW w:w="1701" w:type="dxa"/>
          </w:tcPr>
          <w:p w14:paraId="6A7984DF" w14:textId="0A223675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B</w:t>
            </w:r>
            <w:r>
              <w:rPr>
                <w:sz w:val="21"/>
                <w:szCs w:val="21"/>
                <w:lang w:val="en-US"/>
              </w:rPr>
              <w:t xml:space="preserve">. </w:t>
            </w:r>
            <w:r w:rsidRPr="006F3F42">
              <w:rPr>
                <w:sz w:val="21"/>
                <w:szCs w:val="21"/>
                <w:lang w:val="en-US"/>
              </w:rPr>
              <w:t>Kahl-Nieke,</w:t>
            </w:r>
            <w:r w:rsidRPr="006F3F42">
              <w:rPr>
                <w:rStyle w:val="apple-converted-space"/>
                <w:sz w:val="21"/>
                <w:szCs w:val="21"/>
                <w:lang w:val="en-US"/>
              </w:rPr>
              <w:t> </w:t>
            </w:r>
          </w:p>
        </w:tc>
        <w:tc>
          <w:tcPr>
            <w:tcW w:w="992" w:type="dxa"/>
          </w:tcPr>
          <w:p w14:paraId="52EB460A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1998</w:t>
            </w:r>
          </w:p>
        </w:tc>
        <w:tc>
          <w:tcPr>
            <w:tcW w:w="2126" w:type="dxa"/>
          </w:tcPr>
          <w:p w14:paraId="26EABE1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Am J Ortho Dentofac Orthop.</w:t>
            </w:r>
          </w:p>
        </w:tc>
        <w:tc>
          <w:tcPr>
            <w:tcW w:w="2693" w:type="dxa"/>
          </w:tcPr>
          <w:p w14:paraId="168BEEC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214DBB33" w14:textId="77777777" w:rsidTr="006F3F42">
        <w:trPr>
          <w:trHeight w:val="1100"/>
        </w:trPr>
        <w:tc>
          <w:tcPr>
            <w:tcW w:w="6096" w:type="dxa"/>
          </w:tcPr>
          <w:p w14:paraId="7D117F9D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Hemimandibular Hypoplasia Successfully Treated with Functional Appliances: Is It Truly Hemifacial Microsomia?</w:t>
            </w:r>
          </w:p>
        </w:tc>
        <w:tc>
          <w:tcPr>
            <w:tcW w:w="1701" w:type="dxa"/>
          </w:tcPr>
          <w:p w14:paraId="2359AE5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M.C. Meazzini,</w:t>
            </w:r>
          </w:p>
        </w:tc>
        <w:tc>
          <w:tcPr>
            <w:tcW w:w="992" w:type="dxa"/>
          </w:tcPr>
          <w:p w14:paraId="4282D0D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2008</w:t>
            </w:r>
          </w:p>
        </w:tc>
        <w:tc>
          <w:tcPr>
            <w:tcW w:w="2126" w:type="dxa"/>
          </w:tcPr>
          <w:p w14:paraId="2F93BF7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The Cleft palate-craniofacial journal</w:t>
            </w:r>
          </w:p>
        </w:tc>
        <w:tc>
          <w:tcPr>
            <w:tcW w:w="2693" w:type="dxa"/>
          </w:tcPr>
          <w:p w14:paraId="522645B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5BF9BD25" w14:textId="77777777" w:rsidTr="006F3F42">
        <w:trPr>
          <w:trHeight w:val="1100"/>
        </w:trPr>
        <w:tc>
          <w:tcPr>
            <w:tcW w:w="6096" w:type="dxa"/>
          </w:tcPr>
          <w:p w14:paraId="3E136A1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lastRenderedPageBreak/>
              <w:t>Comparison of Pain Perception in Patients Affected by Cleft and Cranio Facial Anomalies Treated with Traditional Fixed Appliances or Invisalign</w:t>
            </w:r>
            <w:r w:rsidRPr="006F3F42">
              <w:rPr>
                <w:rStyle w:val="apple-converted-space"/>
                <w:sz w:val="21"/>
                <w:szCs w:val="21"/>
                <w:lang w:val="en-US"/>
              </w:rPr>
              <w:t> </w:t>
            </w:r>
          </w:p>
        </w:tc>
        <w:tc>
          <w:tcPr>
            <w:tcW w:w="1701" w:type="dxa"/>
          </w:tcPr>
          <w:p w14:paraId="09D90684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M.C. Meazzini,</w:t>
            </w:r>
            <w:r w:rsidRPr="006F3F42">
              <w:rPr>
                <w:rStyle w:val="apple-converted-space"/>
                <w:sz w:val="21"/>
                <w:szCs w:val="21"/>
                <w:lang w:val="en-US"/>
              </w:rPr>
              <w:t> </w:t>
            </w:r>
          </w:p>
        </w:tc>
        <w:tc>
          <w:tcPr>
            <w:tcW w:w="992" w:type="dxa"/>
          </w:tcPr>
          <w:p w14:paraId="65DB9E7D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2019</w:t>
            </w:r>
          </w:p>
        </w:tc>
        <w:tc>
          <w:tcPr>
            <w:tcW w:w="2126" w:type="dxa"/>
          </w:tcPr>
          <w:p w14:paraId="355C0584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Cleft palate-Craniofacial Journal</w:t>
            </w:r>
          </w:p>
        </w:tc>
        <w:tc>
          <w:tcPr>
            <w:tcW w:w="2693" w:type="dxa"/>
          </w:tcPr>
          <w:p w14:paraId="264C6635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3BD8C1FA" w14:textId="77777777" w:rsidTr="006F3F42">
        <w:trPr>
          <w:trHeight w:val="1100"/>
        </w:trPr>
        <w:tc>
          <w:tcPr>
            <w:tcW w:w="6096" w:type="dxa"/>
          </w:tcPr>
          <w:p w14:paraId="16DA0FA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Outcome of surgical-orthodontic treatment in hemifacial microsomia with and without early mandibular distraction osteogenesis.</w:t>
            </w:r>
          </w:p>
        </w:tc>
        <w:tc>
          <w:tcPr>
            <w:tcW w:w="1701" w:type="dxa"/>
          </w:tcPr>
          <w:p w14:paraId="46966F80" w14:textId="75AE0ED2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C. </w:t>
            </w:r>
            <w:r w:rsidRPr="006F3F42">
              <w:rPr>
                <w:sz w:val="21"/>
                <w:szCs w:val="21"/>
                <w:lang w:val="en-US"/>
              </w:rPr>
              <w:t>Suppapinyaroj</w:t>
            </w:r>
          </w:p>
        </w:tc>
        <w:tc>
          <w:tcPr>
            <w:tcW w:w="992" w:type="dxa"/>
          </w:tcPr>
          <w:p w14:paraId="14405D71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2020</w:t>
            </w:r>
          </w:p>
        </w:tc>
        <w:tc>
          <w:tcPr>
            <w:tcW w:w="2126" w:type="dxa"/>
          </w:tcPr>
          <w:p w14:paraId="044D66A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International Journal Oral Maxillofacial Surgery</w:t>
            </w:r>
          </w:p>
        </w:tc>
        <w:tc>
          <w:tcPr>
            <w:tcW w:w="2693" w:type="dxa"/>
          </w:tcPr>
          <w:p w14:paraId="2868141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Article not found</w:t>
            </w:r>
          </w:p>
        </w:tc>
      </w:tr>
      <w:tr w:rsidR="006F3F42" w:rsidRPr="006F3F42" w14:paraId="6F145D5B" w14:textId="77777777" w:rsidTr="006F3F42">
        <w:trPr>
          <w:trHeight w:val="1100"/>
        </w:trPr>
        <w:tc>
          <w:tcPr>
            <w:tcW w:w="6096" w:type="dxa"/>
          </w:tcPr>
          <w:p w14:paraId="05967010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Hemifacial microsomia: extraoral appliance for the early treatment of an infant. Literature review and case report.</w:t>
            </w:r>
          </w:p>
        </w:tc>
        <w:tc>
          <w:tcPr>
            <w:tcW w:w="1701" w:type="dxa"/>
          </w:tcPr>
          <w:p w14:paraId="7755B9ED" w14:textId="14F17145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L. </w:t>
            </w:r>
            <w:r w:rsidRPr="006F3F42">
              <w:rPr>
                <w:sz w:val="21"/>
                <w:szCs w:val="21"/>
                <w:lang w:val="en-US"/>
              </w:rPr>
              <w:t>Gripp</w:t>
            </w:r>
          </w:p>
        </w:tc>
        <w:tc>
          <w:tcPr>
            <w:tcW w:w="992" w:type="dxa"/>
          </w:tcPr>
          <w:p w14:paraId="2ECAA811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1997</w:t>
            </w:r>
          </w:p>
        </w:tc>
        <w:tc>
          <w:tcPr>
            <w:tcW w:w="2126" w:type="dxa"/>
          </w:tcPr>
          <w:p w14:paraId="2F9E6E7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Journal Orofacial Orthopedics</w:t>
            </w:r>
            <w:r w:rsidRPr="006F3F42">
              <w:rPr>
                <w:rStyle w:val="apple-converted-space"/>
                <w:sz w:val="21"/>
                <w:szCs w:val="21"/>
                <w:lang w:val="en-US"/>
              </w:rPr>
              <w:t> </w:t>
            </w:r>
          </w:p>
        </w:tc>
        <w:tc>
          <w:tcPr>
            <w:tcW w:w="2693" w:type="dxa"/>
          </w:tcPr>
          <w:p w14:paraId="6C00A05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Treatment not clearly described</w:t>
            </w:r>
          </w:p>
        </w:tc>
      </w:tr>
      <w:tr w:rsidR="006F3F42" w:rsidRPr="006F3F42" w14:paraId="2D662235" w14:textId="77777777" w:rsidTr="006F3F42">
        <w:trPr>
          <w:trHeight w:val="1100"/>
        </w:trPr>
        <w:tc>
          <w:tcPr>
            <w:tcW w:w="6096" w:type="dxa"/>
          </w:tcPr>
          <w:p w14:paraId="7B4E62F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Problems related to jaw distraction treatments and their solutions from the perspective of orthodontists</w:t>
            </w:r>
          </w:p>
        </w:tc>
        <w:tc>
          <w:tcPr>
            <w:tcW w:w="1701" w:type="dxa"/>
          </w:tcPr>
          <w:p w14:paraId="0937A820" w14:textId="04B85371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T. </w:t>
            </w:r>
            <w:r w:rsidRPr="006F3F42">
              <w:rPr>
                <w:sz w:val="21"/>
                <w:szCs w:val="21"/>
                <w:lang w:val="en-US"/>
              </w:rPr>
              <w:t>Susami</w:t>
            </w:r>
          </w:p>
        </w:tc>
        <w:tc>
          <w:tcPr>
            <w:tcW w:w="992" w:type="dxa"/>
          </w:tcPr>
          <w:p w14:paraId="373999F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2009</w:t>
            </w:r>
          </w:p>
        </w:tc>
        <w:tc>
          <w:tcPr>
            <w:tcW w:w="2126" w:type="dxa"/>
          </w:tcPr>
          <w:p w14:paraId="37D5218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Japanese Journal Plastic Surgery</w:t>
            </w:r>
          </w:p>
        </w:tc>
        <w:tc>
          <w:tcPr>
            <w:tcW w:w="2693" w:type="dxa"/>
          </w:tcPr>
          <w:p w14:paraId="06740EBD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73AE6E10" w14:textId="77777777" w:rsidTr="006F3F42">
        <w:trPr>
          <w:trHeight w:val="1100"/>
        </w:trPr>
        <w:tc>
          <w:tcPr>
            <w:tcW w:w="6096" w:type="dxa"/>
          </w:tcPr>
          <w:p w14:paraId="423B11E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Malocclusions and orthodontic management of syndromic patients: A review</w:t>
            </w:r>
          </w:p>
        </w:tc>
        <w:tc>
          <w:tcPr>
            <w:tcW w:w="1701" w:type="dxa"/>
          </w:tcPr>
          <w:p w14:paraId="6F2AFC7F" w14:textId="317B81F2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A. </w:t>
            </w:r>
            <w:r w:rsidRPr="006F3F42">
              <w:rPr>
                <w:sz w:val="21"/>
                <w:szCs w:val="21"/>
                <w:lang w:val="en-US"/>
              </w:rPr>
              <w:t>Sinha</w:t>
            </w:r>
          </w:p>
        </w:tc>
        <w:tc>
          <w:tcPr>
            <w:tcW w:w="992" w:type="dxa"/>
          </w:tcPr>
          <w:p w14:paraId="5F2580B5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2019</w:t>
            </w:r>
          </w:p>
        </w:tc>
        <w:tc>
          <w:tcPr>
            <w:tcW w:w="2126" w:type="dxa"/>
          </w:tcPr>
          <w:p w14:paraId="3CC7813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Indian Journal of Public Health Research and Development</w:t>
            </w:r>
          </w:p>
        </w:tc>
        <w:tc>
          <w:tcPr>
            <w:tcW w:w="2693" w:type="dxa"/>
          </w:tcPr>
          <w:p w14:paraId="4CB5C0B3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6633BB22" w14:textId="77777777" w:rsidTr="006F3F42">
        <w:trPr>
          <w:trHeight w:val="1100"/>
        </w:trPr>
        <w:tc>
          <w:tcPr>
            <w:tcW w:w="6096" w:type="dxa"/>
          </w:tcPr>
          <w:p w14:paraId="05C15041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Treatment modalities for Korean patients with unilateral hemifacial microsomia according to Pruzansky Kahan types and growth stages</w:t>
            </w:r>
          </w:p>
        </w:tc>
        <w:tc>
          <w:tcPr>
            <w:tcW w:w="1701" w:type="dxa"/>
          </w:tcPr>
          <w:p w14:paraId="64308B94" w14:textId="3FD2041A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I-H. </w:t>
            </w:r>
            <w:r w:rsidR="006F3F42" w:rsidRPr="006F3F42">
              <w:rPr>
                <w:sz w:val="21"/>
                <w:szCs w:val="21"/>
                <w:lang w:val="en-US"/>
              </w:rPr>
              <w:t>Yang</w:t>
            </w:r>
          </w:p>
        </w:tc>
        <w:tc>
          <w:tcPr>
            <w:tcW w:w="992" w:type="dxa"/>
          </w:tcPr>
          <w:p w14:paraId="35678EE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ascii="Calibri" w:hAnsi="Calibri" w:cs="Calibri"/>
                <w:sz w:val="21"/>
                <w:szCs w:val="21"/>
                <w:lang w:val="en-US"/>
              </w:rPr>
              <w:t>﻿</w:t>
            </w:r>
            <w:r w:rsidRPr="006F3F42">
              <w:rPr>
                <w:sz w:val="21"/>
                <w:szCs w:val="21"/>
                <w:lang w:val="en-US"/>
              </w:rPr>
              <w:t>2020</w:t>
            </w:r>
          </w:p>
        </w:tc>
        <w:tc>
          <w:tcPr>
            <w:tcW w:w="2126" w:type="dxa"/>
          </w:tcPr>
          <w:p w14:paraId="60E2CBA0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Korean Journal Orthodontics</w:t>
            </w:r>
          </w:p>
        </w:tc>
        <w:tc>
          <w:tcPr>
            <w:tcW w:w="2693" w:type="dxa"/>
          </w:tcPr>
          <w:p w14:paraId="77AA956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4E340209" w14:textId="77777777" w:rsidTr="006F3F42">
        <w:trPr>
          <w:trHeight w:val="1100"/>
        </w:trPr>
        <w:tc>
          <w:tcPr>
            <w:tcW w:w="6096" w:type="dxa"/>
          </w:tcPr>
          <w:p w14:paraId="699EF246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Orthopedic approach to asymmetry</w:t>
            </w:r>
          </w:p>
        </w:tc>
        <w:tc>
          <w:tcPr>
            <w:tcW w:w="1701" w:type="dxa"/>
          </w:tcPr>
          <w:p w14:paraId="11C148FD" w14:textId="4E4DADEC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E</w:t>
            </w:r>
            <w:r w:rsidR="00894256">
              <w:rPr>
                <w:sz w:val="21"/>
                <w:szCs w:val="21"/>
                <w:lang w:val="en-US"/>
              </w:rPr>
              <w:t>.</w:t>
            </w:r>
            <w:r w:rsidRPr="006F3F42">
              <w:rPr>
                <w:sz w:val="21"/>
                <w:szCs w:val="21"/>
                <w:lang w:val="en-US"/>
              </w:rPr>
              <w:t xml:space="preserve"> Bardinet</w:t>
            </w:r>
          </w:p>
        </w:tc>
        <w:tc>
          <w:tcPr>
            <w:tcW w:w="992" w:type="dxa"/>
          </w:tcPr>
          <w:p w14:paraId="3F19D86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2002</w:t>
            </w:r>
          </w:p>
        </w:tc>
        <w:tc>
          <w:tcPr>
            <w:tcW w:w="2126" w:type="dxa"/>
          </w:tcPr>
          <w:p w14:paraId="5D9057C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L' Orthodontie francaise</w:t>
            </w:r>
          </w:p>
        </w:tc>
        <w:tc>
          <w:tcPr>
            <w:tcW w:w="2693" w:type="dxa"/>
          </w:tcPr>
          <w:p w14:paraId="0584AED6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 xml:space="preserve">Article not found </w:t>
            </w:r>
          </w:p>
        </w:tc>
      </w:tr>
      <w:tr w:rsidR="006F3F42" w:rsidRPr="006F3F42" w14:paraId="6F7C5EC5" w14:textId="77777777" w:rsidTr="006F3F42">
        <w:trPr>
          <w:trHeight w:val="1100"/>
        </w:trPr>
        <w:tc>
          <w:tcPr>
            <w:tcW w:w="6096" w:type="dxa"/>
          </w:tcPr>
          <w:p w14:paraId="3C3EF93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lastRenderedPageBreak/>
              <w:t>Treacher Collins syndrome - Orthodontic treatment of 11-year-old girl. Case report</w:t>
            </w:r>
          </w:p>
        </w:tc>
        <w:tc>
          <w:tcPr>
            <w:tcW w:w="1701" w:type="dxa"/>
          </w:tcPr>
          <w:p w14:paraId="56ECC7E4" w14:textId="7CA9B280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r w:rsidR="006F3F42" w:rsidRPr="006F3F42">
              <w:rPr>
                <w:sz w:val="21"/>
                <w:szCs w:val="21"/>
                <w:lang w:val="en-US"/>
              </w:rPr>
              <w:t>Andrych</w:t>
            </w:r>
          </w:p>
        </w:tc>
        <w:tc>
          <w:tcPr>
            <w:tcW w:w="992" w:type="dxa"/>
          </w:tcPr>
          <w:p w14:paraId="54BD6625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2005</w:t>
            </w:r>
          </w:p>
        </w:tc>
        <w:tc>
          <w:tcPr>
            <w:tcW w:w="2126" w:type="dxa"/>
          </w:tcPr>
          <w:p w14:paraId="01047E00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Pediatria Polska</w:t>
            </w:r>
          </w:p>
        </w:tc>
        <w:tc>
          <w:tcPr>
            <w:tcW w:w="2693" w:type="dxa"/>
          </w:tcPr>
          <w:p w14:paraId="24627056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Case is not microsomia</w:t>
            </w:r>
          </w:p>
        </w:tc>
      </w:tr>
      <w:tr w:rsidR="006F3F42" w:rsidRPr="006F3F42" w14:paraId="2E4AC2FD" w14:textId="77777777" w:rsidTr="006F3F42">
        <w:trPr>
          <w:trHeight w:val="1100"/>
        </w:trPr>
        <w:tc>
          <w:tcPr>
            <w:tcW w:w="6096" w:type="dxa"/>
          </w:tcPr>
          <w:p w14:paraId="114C948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Modification of dentofacial growth associated with Goldenhar syndrome</w:t>
            </w:r>
          </w:p>
        </w:tc>
        <w:tc>
          <w:tcPr>
            <w:tcW w:w="1701" w:type="dxa"/>
          </w:tcPr>
          <w:p w14:paraId="41E9EE82" w14:textId="3D6FA6D5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E. </w:t>
            </w:r>
            <w:r w:rsidR="006F3F42" w:rsidRPr="006F3F42">
              <w:rPr>
                <w:sz w:val="21"/>
                <w:szCs w:val="21"/>
                <w:lang w:val="en-US"/>
              </w:rPr>
              <w:t>Hlaing</w:t>
            </w:r>
          </w:p>
        </w:tc>
        <w:tc>
          <w:tcPr>
            <w:tcW w:w="992" w:type="dxa"/>
          </w:tcPr>
          <w:p w14:paraId="466FBC4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ascii="Calibri" w:hAnsi="Calibri" w:cs="Calibri"/>
                <w:sz w:val="21"/>
                <w:szCs w:val="21"/>
                <w:lang w:val="en-US"/>
              </w:rPr>
              <w:t>﻿</w:t>
            </w:r>
            <w:r w:rsidRPr="006F3F42">
              <w:rPr>
                <w:sz w:val="21"/>
                <w:szCs w:val="21"/>
                <w:lang w:val="en-US"/>
              </w:rPr>
              <w:t>2017</w:t>
            </w:r>
          </w:p>
        </w:tc>
        <w:tc>
          <w:tcPr>
            <w:tcW w:w="2126" w:type="dxa"/>
          </w:tcPr>
          <w:p w14:paraId="4797D653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Acta Medica Okayama</w:t>
            </w:r>
          </w:p>
        </w:tc>
        <w:tc>
          <w:tcPr>
            <w:tcW w:w="2693" w:type="dxa"/>
          </w:tcPr>
          <w:p w14:paraId="27060DC3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2A9D3A53" w14:textId="77777777" w:rsidTr="006F3F42">
        <w:trPr>
          <w:trHeight w:val="1100"/>
        </w:trPr>
        <w:tc>
          <w:tcPr>
            <w:tcW w:w="6096" w:type="dxa"/>
          </w:tcPr>
          <w:p w14:paraId="052732E3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Combined simultaneous distraction osteogenesis of the maxilla and mandible using a single distraction device in hemifacial microsomia.</w:t>
            </w:r>
          </w:p>
        </w:tc>
        <w:tc>
          <w:tcPr>
            <w:tcW w:w="1701" w:type="dxa"/>
          </w:tcPr>
          <w:p w14:paraId="4BD7F32C" w14:textId="7957236A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H-L. </w:t>
            </w:r>
            <w:r w:rsidR="006F3F42" w:rsidRPr="006F3F42">
              <w:rPr>
                <w:sz w:val="21"/>
                <w:szCs w:val="21"/>
                <w:lang w:val="en-US"/>
              </w:rPr>
              <w:t>Vu</w:t>
            </w:r>
          </w:p>
        </w:tc>
        <w:tc>
          <w:tcPr>
            <w:tcW w:w="992" w:type="dxa"/>
          </w:tcPr>
          <w:p w14:paraId="3698CE7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2001</w:t>
            </w:r>
          </w:p>
        </w:tc>
        <w:tc>
          <w:tcPr>
            <w:tcW w:w="2126" w:type="dxa"/>
          </w:tcPr>
          <w:p w14:paraId="1F3602F4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The Journal of craniofacial surgery</w:t>
            </w:r>
          </w:p>
        </w:tc>
        <w:tc>
          <w:tcPr>
            <w:tcW w:w="2693" w:type="dxa"/>
          </w:tcPr>
          <w:p w14:paraId="761BFBF1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408D5DE5" w14:textId="77777777" w:rsidTr="006F3F42">
        <w:trPr>
          <w:trHeight w:val="1100"/>
        </w:trPr>
        <w:tc>
          <w:tcPr>
            <w:tcW w:w="6096" w:type="dxa"/>
          </w:tcPr>
          <w:p w14:paraId="6CD339A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 case of oculo-auriculo-vertebral spectrum with long-term and comprehensive management.</w:t>
            </w:r>
          </w:p>
        </w:tc>
        <w:tc>
          <w:tcPr>
            <w:tcW w:w="1701" w:type="dxa"/>
          </w:tcPr>
          <w:p w14:paraId="7E586C2C" w14:textId="6290D9BE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N. </w:t>
            </w:r>
            <w:r w:rsidR="006F3F42" w:rsidRPr="006F3F42">
              <w:rPr>
                <w:sz w:val="21"/>
                <w:szCs w:val="21"/>
                <w:lang w:val="en-US"/>
              </w:rPr>
              <w:t>Suda</w:t>
            </w:r>
          </w:p>
        </w:tc>
        <w:tc>
          <w:tcPr>
            <w:tcW w:w="992" w:type="dxa"/>
          </w:tcPr>
          <w:p w14:paraId="213ADB6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ascii="Calibri" w:hAnsi="Calibri" w:cs="Calibri"/>
                <w:sz w:val="21"/>
                <w:szCs w:val="21"/>
                <w:lang w:val="en-US"/>
              </w:rPr>
              <w:t>﻿</w:t>
            </w:r>
            <w:r w:rsidRPr="006F3F42">
              <w:rPr>
                <w:sz w:val="21"/>
                <w:szCs w:val="21"/>
                <w:lang w:val="en-US"/>
              </w:rPr>
              <w:t>2006</w:t>
            </w:r>
          </w:p>
        </w:tc>
        <w:tc>
          <w:tcPr>
            <w:tcW w:w="2126" w:type="dxa"/>
          </w:tcPr>
          <w:p w14:paraId="69FEFAC4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World Journal Orthodontics</w:t>
            </w:r>
          </w:p>
        </w:tc>
        <w:tc>
          <w:tcPr>
            <w:tcW w:w="2693" w:type="dxa"/>
          </w:tcPr>
          <w:p w14:paraId="75E72BE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Article not found</w:t>
            </w:r>
          </w:p>
        </w:tc>
      </w:tr>
      <w:tr w:rsidR="006F3F42" w:rsidRPr="006F3F42" w14:paraId="1B144676" w14:textId="77777777" w:rsidTr="006F3F42">
        <w:trPr>
          <w:trHeight w:val="1100"/>
        </w:trPr>
        <w:tc>
          <w:tcPr>
            <w:tcW w:w="6096" w:type="dxa"/>
          </w:tcPr>
          <w:p w14:paraId="0A57ED9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 case of incomplete facial hemiatrophy: Combinated techniques</w:t>
            </w:r>
          </w:p>
        </w:tc>
        <w:tc>
          <w:tcPr>
            <w:tcW w:w="1701" w:type="dxa"/>
          </w:tcPr>
          <w:p w14:paraId="6A4273B3" w14:textId="1D88E7B0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P. </w:t>
            </w:r>
            <w:r w:rsidR="006F3F42" w:rsidRPr="006F3F42">
              <w:rPr>
                <w:sz w:val="21"/>
                <w:szCs w:val="21"/>
                <w:lang w:val="en-US"/>
              </w:rPr>
              <w:t>Santanche</w:t>
            </w:r>
          </w:p>
        </w:tc>
        <w:tc>
          <w:tcPr>
            <w:tcW w:w="992" w:type="dxa"/>
          </w:tcPr>
          <w:p w14:paraId="125D7C90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1993</w:t>
            </w:r>
          </w:p>
        </w:tc>
        <w:tc>
          <w:tcPr>
            <w:tcW w:w="2126" w:type="dxa"/>
          </w:tcPr>
          <w:p w14:paraId="27804E5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Rivista Italiana di Chirurgia Plastica</w:t>
            </w:r>
          </w:p>
        </w:tc>
        <w:tc>
          <w:tcPr>
            <w:tcW w:w="2693" w:type="dxa"/>
          </w:tcPr>
          <w:p w14:paraId="00496780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Article not found</w:t>
            </w:r>
          </w:p>
        </w:tc>
      </w:tr>
      <w:tr w:rsidR="006F3F42" w:rsidRPr="006F3F42" w14:paraId="1EAEF05E" w14:textId="77777777" w:rsidTr="006F3F42">
        <w:trPr>
          <w:trHeight w:val="1100"/>
        </w:trPr>
        <w:tc>
          <w:tcPr>
            <w:tcW w:w="6096" w:type="dxa"/>
          </w:tcPr>
          <w:p w14:paraId="73DFCFB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Leveling the Maxillary Occlusal Plane Without Orthodontic Appliances in Patients with Hemifacial Microsomia Using Unilateral Vertical Mandibular Distraction Osteogenesis.</w:t>
            </w:r>
          </w:p>
        </w:tc>
        <w:tc>
          <w:tcPr>
            <w:tcW w:w="1701" w:type="dxa"/>
          </w:tcPr>
          <w:p w14:paraId="6C31A10F" w14:textId="2104F22E" w:rsidR="006F3F42" w:rsidRPr="006F3F42" w:rsidRDefault="0089425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N. </w:t>
            </w:r>
            <w:r w:rsidR="006F3F42" w:rsidRPr="006F3F42">
              <w:rPr>
                <w:sz w:val="21"/>
                <w:szCs w:val="21"/>
                <w:lang w:val="en-US"/>
              </w:rPr>
              <w:t>Pourtaheri</w:t>
            </w:r>
          </w:p>
        </w:tc>
        <w:tc>
          <w:tcPr>
            <w:tcW w:w="992" w:type="dxa"/>
          </w:tcPr>
          <w:p w14:paraId="46FCB22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2020</w:t>
            </w:r>
          </w:p>
        </w:tc>
        <w:tc>
          <w:tcPr>
            <w:tcW w:w="2126" w:type="dxa"/>
          </w:tcPr>
          <w:p w14:paraId="674BB685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 xml:space="preserve"> Journal Craniofacial Surgery</w:t>
            </w:r>
          </w:p>
        </w:tc>
        <w:tc>
          <w:tcPr>
            <w:tcW w:w="2693" w:type="dxa"/>
          </w:tcPr>
          <w:p w14:paraId="5EA5EE2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  <w:r w:rsidRPr="006F3F42">
              <w:rPr>
                <w:sz w:val="21"/>
                <w:szCs w:val="21"/>
                <w:lang w:val="en-US"/>
              </w:rPr>
              <w:t xml:space="preserve"> </w:t>
            </w:r>
          </w:p>
        </w:tc>
      </w:tr>
      <w:tr w:rsidR="006F3F42" w:rsidRPr="006F3F42" w14:paraId="2B1FAD76" w14:textId="77777777" w:rsidTr="006F3F42">
        <w:trPr>
          <w:trHeight w:val="1100"/>
        </w:trPr>
        <w:tc>
          <w:tcPr>
            <w:tcW w:w="6096" w:type="dxa"/>
          </w:tcPr>
          <w:p w14:paraId="38480C95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Orthodontic elastic traction assisted the Hemifacial Micronesia treatment during activation period of distraction osteogenesis for hemifacial: a multicenter? prospective? cohort study</w:t>
            </w:r>
          </w:p>
        </w:tc>
        <w:tc>
          <w:tcPr>
            <w:tcW w:w="1701" w:type="dxa"/>
          </w:tcPr>
          <w:p w14:paraId="3F178014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Molina</w:t>
            </w:r>
          </w:p>
        </w:tc>
        <w:tc>
          <w:tcPr>
            <w:tcW w:w="992" w:type="dxa"/>
          </w:tcPr>
          <w:p w14:paraId="039951D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1999</w:t>
            </w:r>
          </w:p>
        </w:tc>
        <w:tc>
          <w:tcPr>
            <w:tcW w:w="2126" w:type="dxa"/>
          </w:tcPr>
          <w:p w14:paraId="2BE55F0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 xml:space="preserve">No </w:t>
            </w:r>
          </w:p>
        </w:tc>
        <w:tc>
          <w:tcPr>
            <w:tcW w:w="2693" w:type="dxa"/>
          </w:tcPr>
          <w:p w14:paraId="197B52A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Not found</w:t>
            </w:r>
          </w:p>
        </w:tc>
      </w:tr>
      <w:tr w:rsidR="006F3F42" w:rsidRPr="006F3F42" w14:paraId="475195AF" w14:textId="77777777" w:rsidTr="006F3F42">
        <w:trPr>
          <w:trHeight w:val="1100"/>
        </w:trPr>
        <w:tc>
          <w:tcPr>
            <w:tcW w:w="6096" w:type="dxa"/>
          </w:tcPr>
          <w:p w14:paraId="794E4FF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lastRenderedPageBreak/>
              <w:t>Orthodontic and maxillofacial confrontation of a hemifacial microsomia, comprising electromyographic check</w:t>
            </w:r>
          </w:p>
        </w:tc>
        <w:tc>
          <w:tcPr>
            <w:tcW w:w="1701" w:type="dxa"/>
          </w:tcPr>
          <w:p w14:paraId="4C5DED13" w14:textId="00DB4C2D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M</w:t>
            </w:r>
            <w:r w:rsidR="006577D6">
              <w:rPr>
                <w:sz w:val="21"/>
                <w:szCs w:val="21"/>
                <w:lang w:val="en-US"/>
              </w:rPr>
              <w:t>-</w:t>
            </w:r>
            <w:r w:rsidRPr="006F3F42">
              <w:rPr>
                <w:sz w:val="21"/>
                <w:szCs w:val="21"/>
                <w:lang w:val="en-US"/>
              </w:rPr>
              <w:t>J</w:t>
            </w:r>
            <w:r w:rsidR="006577D6">
              <w:rPr>
                <w:sz w:val="21"/>
                <w:szCs w:val="21"/>
                <w:lang w:val="en-US"/>
              </w:rPr>
              <w:t>.</w:t>
            </w:r>
            <w:r w:rsidRPr="006F3F42">
              <w:rPr>
                <w:sz w:val="21"/>
                <w:szCs w:val="21"/>
                <w:lang w:val="en-US"/>
              </w:rPr>
              <w:t xml:space="preserve"> Papagrigorakis, </w:t>
            </w:r>
          </w:p>
        </w:tc>
        <w:tc>
          <w:tcPr>
            <w:tcW w:w="992" w:type="dxa"/>
          </w:tcPr>
          <w:p w14:paraId="4A5CDCF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1989</w:t>
            </w:r>
          </w:p>
        </w:tc>
        <w:tc>
          <w:tcPr>
            <w:tcW w:w="2126" w:type="dxa"/>
          </w:tcPr>
          <w:p w14:paraId="67962BF3" w14:textId="77777777" w:rsidR="006F3F42" w:rsidRPr="006F3F42" w:rsidRDefault="006F3F42" w:rsidP="00FD533D">
            <w:pPr>
              <w:spacing w:line="360" w:lineRule="auto"/>
              <w:jc w:val="center"/>
              <w:rPr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Odontostomatol Proodos</w:t>
            </w:r>
          </w:p>
          <w:p w14:paraId="0720EDE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</w:p>
        </w:tc>
        <w:tc>
          <w:tcPr>
            <w:tcW w:w="2693" w:type="dxa"/>
          </w:tcPr>
          <w:p w14:paraId="1553B4F3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rFonts w:eastAsia="Arial"/>
                <w:sz w:val="21"/>
                <w:szCs w:val="21"/>
                <w:lang w:val="en-US"/>
              </w:rPr>
              <w:t>Treatment not described</w:t>
            </w:r>
          </w:p>
        </w:tc>
      </w:tr>
      <w:tr w:rsidR="006F3F42" w:rsidRPr="006F3F42" w14:paraId="750A2D2D" w14:textId="77777777" w:rsidTr="006F3F42">
        <w:trPr>
          <w:trHeight w:val="1100"/>
        </w:trPr>
        <w:tc>
          <w:tcPr>
            <w:tcW w:w="6096" w:type="dxa"/>
          </w:tcPr>
          <w:p w14:paraId="1FE83863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Prediction of difficult airway of the first and second branchial arch syndrome patient by using preoperative cephalometric analysis in orthodontics</w:t>
            </w:r>
          </w:p>
        </w:tc>
        <w:tc>
          <w:tcPr>
            <w:tcW w:w="1701" w:type="dxa"/>
          </w:tcPr>
          <w:p w14:paraId="2AC7F154" w14:textId="472357F9" w:rsidR="006F3F42" w:rsidRPr="006F3F42" w:rsidRDefault="006577D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S. </w:t>
            </w:r>
            <w:r w:rsidR="006F3F42" w:rsidRPr="006F3F42">
              <w:rPr>
                <w:sz w:val="21"/>
                <w:szCs w:val="21"/>
                <w:lang w:val="en-US"/>
              </w:rPr>
              <w:t>Tachikawa</w:t>
            </w:r>
          </w:p>
        </w:tc>
        <w:tc>
          <w:tcPr>
            <w:tcW w:w="992" w:type="dxa"/>
          </w:tcPr>
          <w:p w14:paraId="5381E24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2017</w:t>
            </w:r>
          </w:p>
        </w:tc>
        <w:tc>
          <w:tcPr>
            <w:tcW w:w="2126" w:type="dxa"/>
          </w:tcPr>
          <w:p w14:paraId="38D3AC6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Journal Japanese Dental Society of Anesthesiology</w:t>
            </w:r>
          </w:p>
        </w:tc>
        <w:tc>
          <w:tcPr>
            <w:tcW w:w="2693" w:type="dxa"/>
          </w:tcPr>
          <w:p w14:paraId="2B8A55C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Not found</w:t>
            </w:r>
          </w:p>
        </w:tc>
      </w:tr>
      <w:tr w:rsidR="006F3F42" w:rsidRPr="006F3F42" w14:paraId="497C6939" w14:textId="77777777" w:rsidTr="006F3F42">
        <w:trPr>
          <w:trHeight w:val="1100"/>
        </w:trPr>
        <w:tc>
          <w:tcPr>
            <w:tcW w:w="6096" w:type="dxa"/>
          </w:tcPr>
          <w:p w14:paraId="22740EC9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Applications of Computer-Aided Design/Manufacturing Technology in Treatment of Hemifacial Microsomia</w:t>
            </w:r>
          </w:p>
        </w:tc>
        <w:tc>
          <w:tcPr>
            <w:tcW w:w="1701" w:type="dxa"/>
          </w:tcPr>
          <w:p w14:paraId="5967FD2D" w14:textId="1A5B7FD8" w:rsidR="006F3F42" w:rsidRPr="006F3F42" w:rsidRDefault="006577D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Y. </w:t>
            </w:r>
            <w:r w:rsidR="006F3F42" w:rsidRPr="006F3F42">
              <w:rPr>
                <w:sz w:val="21"/>
                <w:szCs w:val="21"/>
                <w:lang w:val="en-US"/>
              </w:rPr>
              <w:t>Sun</w:t>
            </w:r>
          </w:p>
        </w:tc>
        <w:tc>
          <w:tcPr>
            <w:tcW w:w="992" w:type="dxa"/>
          </w:tcPr>
          <w:p w14:paraId="05687E1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2020</w:t>
            </w:r>
          </w:p>
        </w:tc>
        <w:tc>
          <w:tcPr>
            <w:tcW w:w="2126" w:type="dxa"/>
          </w:tcPr>
          <w:p w14:paraId="14BB056A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Journal Craniofacial Surgery</w:t>
            </w:r>
          </w:p>
        </w:tc>
        <w:tc>
          <w:tcPr>
            <w:tcW w:w="2693" w:type="dxa"/>
          </w:tcPr>
          <w:p w14:paraId="65CB760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Orthodontic treatment not clearly described</w:t>
            </w:r>
          </w:p>
        </w:tc>
      </w:tr>
      <w:tr w:rsidR="006F3F42" w:rsidRPr="006F3F42" w14:paraId="41B6299F" w14:textId="77777777" w:rsidTr="006F3F42">
        <w:trPr>
          <w:trHeight w:val="1100"/>
        </w:trPr>
        <w:tc>
          <w:tcPr>
            <w:tcW w:w="6096" w:type="dxa"/>
          </w:tcPr>
          <w:p w14:paraId="44DD98C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An Interdisciplinary Management of Severe Facial Asymmetry Due to Hemifacial Microsomia</w:t>
            </w:r>
          </w:p>
        </w:tc>
        <w:tc>
          <w:tcPr>
            <w:tcW w:w="1701" w:type="dxa"/>
          </w:tcPr>
          <w:p w14:paraId="043A1748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color w:val="000000"/>
                <w:sz w:val="21"/>
                <w:szCs w:val="21"/>
              </w:rPr>
              <w:t>M. Sanjana</w:t>
            </w:r>
            <w:r w:rsidRPr="006F3F42">
              <w:rPr>
                <w:color w:val="5B616B"/>
                <w:sz w:val="21"/>
                <w:szCs w:val="21"/>
              </w:rPr>
              <w:t>  </w:t>
            </w:r>
          </w:p>
        </w:tc>
        <w:tc>
          <w:tcPr>
            <w:tcW w:w="992" w:type="dxa"/>
          </w:tcPr>
          <w:p w14:paraId="439BDF9A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2020</w:t>
            </w:r>
          </w:p>
        </w:tc>
        <w:tc>
          <w:tcPr>
            <w:tcW w:w="2126" w:type="dxa"/>
          </w:tcPr>
          <w:p w14:paraId="4DDDE47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Contemporary Clinical Dentistry</w:t>
            </w:r>
          </w:p>
        </w:tc>
        <w:tc>
          <w:tcPr>
            <w:tcW w:w="2693" w:type="dxa"/>
          </w:tcPr>
          <w:p w14:paraId="5493B5E6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rFonts w:eastAsia="Arial"/>
                <w:sz w:val="21"/>
                <w:szCs w:val="21"/>
              </w:rPr>
              <w:t>Adult patient</w:t>
            </w:r>
          </w:p>
        </w:tc>
      </w:tr>
      <w:tr w:rsidR="006F3F42" w:rsidRPr="006F3F42" w14:paraId="1B2693FE" w14:textId="77777777" w:rsidTr="006F3F42">
        <w:trPr>
          <w:trHeight w:val="1100"/>
        </w:trPr>
        <w:tc>
          <w:tcPr>
            <w:tcW w:w="6096" w:type="dxa"/>
          </w:tcPr>
          <w:p w14:paraId="04679647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Bilateral craniofacial microsomia: orthognathic treatment for an advanced dentofacial deformity.</w:t>
            </w:r>
          </w:p>
        </w:tc>
        <w:tc>
          <w:tcPr>
            <w:tcW w:w="1701" w:type="dxa"/>
          </w:tcPr>
          <w:p w14:paraId="14FCC948" w14:textId="33F7C649" w:rsidR="006F3F42" w:rsidRPr="006F3F42" w:rsidRDefault="006577D6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N. </w:t>
            </w:r>
            <w:r w:rsidR="006F3F42" w:rsidRPr="006F3F42">
              <w:rPr>
                <w:sz w:val="21"/>
                <w:szCs w:val="21"/>
              </w:rPr>
              <w:t>Demura</w:t>
            </w:r>
          </w:p>
        </w:tc>
        <w:tc>
          <w:tcPr>
            <w:tcW w:w="992" w:type="dxa"/>
          </w:tcPr>
          <w:p w14:paraId="40C29E6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2013</w:t>
            </w:r>
          </w:p>
        </w:tc>
        <w:tc>
          <w:tcPr>
            <w:tcW w:w="2126" w:type="dxa"/>
          </w:tcPr>
          <w:p w14:paraId="0544C28C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Am J Ortho Dentofac Orthop.</w:t>
            </w:r>
          </w:p>
        </w:tc>
        <w:tc>
          <w:tcPr>
            <w:tcW w:w="2693" w:type="dxa"/>
          </w:tcPr>
          <w:p w14:paraId="39E82D82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Patient with bilateral microsomia and adult</w:t>
            </w:r>
          </w:p>
        </w:tc>
      </w:tr>
      <w:tr w:rsidR="006F3F42" w:rsidRPr="006F3F42" w14:paraId="6E1A1A73" w14:textId="77777777" w:rsidTr="006F3F42">
        <w:trPr>
          <w:trHeight w:val="1100"/>
        </w:trPr>
        <w:tc>
          <w:tcPr>
            <w:tcW w:w="6096" w:type="dxa"/>
          </w:tcPr>
          <w:p w14:paraId="320840D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  <w:lang w:val="en-US"/>
              </w:rPr>
              <w:t>Surgery-first for a patient with mild hemifacial microsomia: A case report and review of literature</w:t>
            </w:r>
          </w:p>
        </w:tc>
        <w:tc>
          <w:tcPr>
            <w:tcW w:w="1701" w:type="dxa"/>
          </w:tcPr>
          <w:p w14:paraId="01ACD346" w14:textId="508B2E1B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J-Y</w:t>
            </w:r>
            <w:r w:rsidR="006577D6">
              <w:rPr>
                <w:sz w:val="21"/>
                <w:szCs w:val="21"/>
              </w:rPr>
              <w:t>.</w:t>
            </w:r>
            <w:r w:rsidRPr="006F3F42">
              <w:rPr>
                <w:sz w:val="21"/>
                <w:szCs w:val="21"/>
              </w:rPr>
              <w:t xml:space="preserve"> Song</w:t>
            </w:r>
            <w:r w:rsidRPr="006F3F42">
              <w:rPr>
                <w:rStyle w:val="apple-converted-space"/>
                <w:sz w:val="21"/>
                <w:szCs w:val="21"/>
              </w:rPr>
              <w:t> </w:t>
            </w:r>
          </w:p>
        </w:tc>
        <w:tc>
          <w:tcPr>
            <w:tcW w:w="992" w:type="dxa"/>
          </w:tcPr>
          <w:p w14:paraId="5E31E35E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2021</w:t>
            </w:r>
          </w:p>
        </w:tc>
        <w:tc>
          <w:tcPr>
            <w:tcW w:w="2126" w:type="dxa"/>
          </w:tcPr>
          <w:p w14:paraId="3AEC7D2B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  <w:lang w:val="en-US"/>
              </w:rPr>
            </w:pPr>
            <w:r w:rsidRPr="006F3F42">
              <w:rPr>
                <w:sz w:val="21"/>
                <w:szCs w:val="21"/>
              </w:rPr>
              <w:t>WJCC</w:t>
            </w:r>
          </w:p>
        </w:tc>
        <w:tc>
          <w:tcPr>
            <w:tcW w:w="2693" w:type="dxa"/>
          </w:tcPr>
          <w:p w14:paraId="1D8ABA4F" w14:textId="77777777" w:rsidR="006F3F42" w:rsidRPr="006F3F42" w:rsidRDefault="006F3F42" w:rsidP="00FD533D">
            <w:pPr>
              <w:spacing w:line="360" w:lineRule="auto"/>
              <w:jc w:val="center"/>
              <w:rPr>
                <w:rFonts w:eastAsia="Arial"/>
                <w:sz w:val="21"/>
                <w:szCs w:val="21"/>
              </w:rPr>
            </w:pPr>
            <w:r w:rsidRPr="006F3F42">
              <w:rPr>
                <w:sz w:val="21"/>
                <w:szCs w:val="21"/>
              </w:rPr>
              <w:t>Adult patient</w:t>
            </w:r>
          </w:p>
        </w:tc>
      </w:tr>
    </w:tbl>
    <w:p w14:paraId="7A759EFE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color w:val="000000" w:themeColor="text1"/>
          <w:sz w:val="21"/>
          <w:szCs w:val="21"/>
          <w:lang w:val="en-US"/>
        </w:rPr>
      </w:pPr>
    </w:p>
    <w:p w14:paraId="0D6161CD" w14:textId="125B6F89" w:rsidR="006F3F42" w:rsidRPr="00AD4148" w:rsidRDefault="009E6B8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b/>
          <w:color w:val="000000" w:themeColor="text1"/>
          <w:sz w:val="21"/>
          <w:szCs w:val="21"/>
          <w:lang w:val="en-US"/>
        </w:rPr>
      </w:pPr>
      <w:r w:rsidRPr="00AD4148">
        <w:rPr>
          <w:rFonts w:eastAsia="Arial"/>
          <w:b/>
          <w:color w:val="000000" w:themeColor="text1"/>
          <w:sz w:val="21"/>
          <w:szCs w:val="21"/>
          <w:lang w:val="en-US"/>
        </w:rPr>
        <w:t>Supplementary Table 1</w:t>
      </w:r>
      <w:r w:rsidR="006F3F42" w:rsidRPr="00AD4148">
        <w:rPr>
          <w:rFonts w:eastAsia="Arial"/>
          <w:b/>
          <w:color w:val="000000" w:themeColor="text1"/>
          <w:sz w:val="21"/>
          <w:szCs w:val="21"/>
          <w:lang w:val="en-US"/>
        </w:rPr>
        <w:t>. Studies excluded. First author, year, journal and reasons for exclusion.</w:t>
      </w:r>
      <w:bookmarkStart w:id="0" w:name="_GoBack"/>
      <w:bookmarkEnd w:id="0"/>
    </w:p>
    <w:p w14:paraId="6BF19BC2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color w:val="000000" w:themeColor="text1"/>
          <w:sz w:val="21"/>
          <w:szCs w:val="21"/>
          <w:lang w:val="en-US"/>
        </w:rPr>
      </w:pPr>
    </w:p>
    <w:p w14:paraId="2EF15AB6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color w:val="000000" w:themeColor="text1"/>
          <w:sz w:val="21"/>
          <w:szCs w:val="21"/>
          <w:lang w:val="en-US"/>
        </w:rPr>
      </w:pPr>
    </w:p>
    <w:p w14:paraId="7C31CE0E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color w:val="000000" w:themeColor="text1"/>
          <w:sz w:val="21"/>
          <w:szCs w:val="21"/>
          <w:lang w:val="en-US"/>
        </w:rPr>
      </w:pPr>
      <w:r w:rsidRPr="006F3F42">
        <w:rPr>
          <w:rFonts w:eastAsia="Arial"/>
          <w:noProof/>
          <w:color w:val="FF0000"/>
          <w:sz w:val="21"/>
          <w:szCs w:val="21"/>
          <w:lang w:val="en-US" w:eastAsia="zh-CN"/>
        </w:rPr>
        <w:lastRenderedPageBreak/>
        <w:drawing>
          <wp:inline distT="0" distB="0" distL="0" distR="0" wp14:anchorId="0CA23296" wp14:editId="457B5F50">
            <wp:extent cx="2647950" cy="3832411"/>
            <wp:effectExtent l="0" t="0" r="0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740" r="3876" b="-724"/>
                    <a:stretch/>
                  </pic:blipFill>
                  <pic:spPr bwMode="auto">
                    <a:xfrm>
                      <a:off x="0" y="0"/>
                      <a:ext cx="2652296" cy="3838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AFC67" w14:textId="6075C8C6" w:rsidR="006F3F42" w:rsidRPr="00AD4148" w:rsidRDefault="009E6B82" w:rsidP="006F3F42">
      <w:pPr>
        <w:spacing w:line="360" w:lineRule="auto"/>
        <w:jc w:val="both"/>
        <w:rPr>
          <w:rFonts w:eastAsia="Arial"/>
          <w:b/>
          <w:sz w:val="21"/>
          <w:szCs w:val="21"/>
          <w:lang w:val="en-US"/>
        </w:rPr>
      </w:pPr>
      <w:r w:rsidRPr="00AD4148">
        <w:rPr>
          <w:rFonts w:eastAsia="Arial"/>
          <w:b/>
          <w:color w:val="000000" w:themeColor="text1"/>
          <w:sz w:val="21"/>
          <w:szCs w:val="21"/>
          <w:lang w:val="en-US"/>
        </w:rPr>
        <w:t>Supplementary Fig. 1</w:t>
      </w:r>
      <w:r w:rsidR="006F3F42" w:rsidRPr="00AD4148">
        <w:rPr>
          <w:rFonts w:eastAsia="Arial"/>
          <w:b/>
          <w:color w:val="000000" w:themeColor="text1"/>
          <w:sz w:val="21"/>
          <w:szCs w:val="21"/>
          <w:lang w:val="en-US"/>
        </w:rPr>
        <w:t xml:space="preserve">. </w:t>
      </w:r>
      <w:r w:rsidR="006F3F42" w:rsidRPr="00AD4148">
        <w:rPr>
          <w:rFonts w:eastAsia="Arial"/>
          <w:b/>
          <w:sz w:val="21"/>
          <w:szCs w:val="21"/>
          <w:lang w:val="en-US"/>
        </w:rPr>
        <w:t xml:space="preserve">Analysis of the risk of bias by the Cochrane program on analyzed RCT studies qualified as a low risk in all aspects. </w:t>
      </w:r>
    </w:p>
    <w:p w14:paraId="2971C513" w14:textId="77777777" w:rsidR="006F3F42" w:rsidRPr="006F3F42" w:rsidRDefault="006F3F42" w:rsidP="006F3F42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eastAsia="Arial"/>
          <w:color w:val="FF0000"/>
          <w:lang w:val="en-US"/>
        </w:rPr>
      </w:pPr>
    </w:p>
    <w:p w14:paraId="6BB81E58" w14:textId="77777777" w:rsidR="008E4A40" w:rsidRPr="006F3F42" w:rsidRDefault="00AD4148">
      <w:pPr>
        <w:rPr>
          <w:lang w:val="en-US"/>
        </w:rPr>
      </w:pPr>
    </w:p>
    <w:sectPr w:rsidR="008E4A40" w:rsidRPr="006F3F42" w:rsidSect="006F3F4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86B68" w14:textId="77777777" w:rsidR="009E6B82" w:rsidRDefault="009E6B82" w:rsidP="009E6B82">
      <w:r>
        <w:separator/>
      </w:r>
    </w:p>
  </w:endnote>
  <w:endnote w:type="continuationSeparator" w:id="0">
    <w:p w14:paraId="752420F1" w14:textId="77777777" w:rsidR="009E6B82" w:rsidRDefault="009E6B82" w:rsidP="009E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37677" w14:textId="77777777" w:rsidR="009E6B82" w:rsidRDefault="009E6B82" w:rsidP="009E6B82">
      <w:r>
        <w:separator/>
      </w:r>
    </w:p>
  </w:footnote>
  <w:footnote w:type="continuationSeparator" w:id="0">
    <w:p w14:paraId="490694EA" w14:textId="77777777" w:rsidR="009E6B82" w:rsidRDefault="009E6B82" w:rsidP="009E6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32CE5"/>
    <w:multiLevelType w:val="hybridMultilevel"/>
    <w:tmpl w:val="ADE6DA12"/>
    <w:lvl w:ilvl="0" w:tplc="35125FAC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0B2B"/>
    <w:multiLevelType w:val="hybridMultilevel"/>
    <w:tmpl w:val="DC82E74E"/>
    <w:lvl w:ilvl="0" w:tplc="36A84418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42"/>
    <w:rsid w:val="000D43D1"/>
    <w:rsid w:val="006577D6"/>
    <w:rsid w:val="006F3F42"/>
    <w:rsid w:val="00894256"/>
    <w:rsid w:val="009E6B82"/>
    <w:rsid w:val="00AD4148"/>
    <w:rsid w:val="00BA127A"/>
    <w:rsid w:val="00BB3875"/>
    <w:rsid w:val="00BE71A8"/>
    <w:rsid w:val="00D6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AF8AC"/>
  <w15:chartTrackingRefBased/>
  <w15:docId w15:val="{10B9B123-0EEA-F249-BB06-DA60CC63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2"/>
    <w:rPr>
      <w:rFonts w:ascii="Times New Roman" w:eastAsia="Times New Roman" w:hAnsi="Times New Roman" w:cs="Times New Roman"/>
      <w:lang w:eastAsia="es-MX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3F42"/>
  </w:style>
  <w:style w:type="table" w:styleId="a3">
    <w:name w:val="Table Grid"/>
    <w:basedOn w:val="a1"/>
    <w:uiPriority w:val="39"/>
    <w:rsid w:val="006F3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3F4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6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E6B82"/>
    <w:rPr>
      <w:rFonts w:ascii="Times New Roman" w:eastAsia="Times New Roman" w:hAnsi="Times New Roman" w:cs="Times New Roman"/>
      <w:sz w:val="18"/>
      <w:szCs w:val="18"/>
      <w:lang w:eastAsia="es-MX"/>
    </w:rPr>
  </w:style>
  <w:style w:type="paragraph" w:styleId="a7">
    <w:name w:val="footer"/>
    <w:basedOn w:val="a"/>
    <w:link w:val="a8"/>
    <w:uiPriority w:val="99"/>
    <w:unhideWhenUsed/>
    <w:rsid w:val="009E6B8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E6B82"/>
    <w:rPr>
      <w:rFonts w:ascii="Times New Roman" w:eastAsia="Times New Roman" w:hAnsi="Times New Roman" w:cs="Times New Roman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Mauricio Acosta Olmos</dc:creator>
  <cp:keywords/>
  <dc:description/>
  <cp:lastModifiedBy>Andy</cp:lastModifiedBy>
  <cp:revision>3</cp:revision>
  <dcterms:created xsi:type="dcterms:W3CDTF">2022-08-30T04:02:00Z</dcterms:created>
  <dcterms:modified xsi:type="dcterms:W3CDTF">2022-09-01T01:08:00Z</dcterms:modified>
</cp:coreProperties>
</file>